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年“职教国培”示范项目</w:t>
      </w:r>
    </w:p>
    <w:p>
      <w:pPr>
        <w:jc w:val="center"/>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lang w:val="en-US" w:eastAsia="zh-CN"/>
        </w:rPr>
      </w:pPr>
      <w:bookmarkStart w:id="0" w:name="_Toc17175"/>
      <w:bookmarkStart w:id="1" w:name="_Toc14975"/>
      <w:r>
        <w:rPr>
          <w:rFonts w:hint="eastAsia" w:ascii="方正小标宋简体" w:hAnsi="方正小标宋简体" w:eastAsia="方正小标宋简体" w:cs="方正小标宋简体"/>
          <w:sz w:val="44"/>
          <w:szCs w:val="44"/>
          <w:lang w:val="en-US" w:eastAsia="zh-CN"/>
        </w:rPr>
        <w:t>全国中职院校“交通运输大类—道路运输</w:t>
      </w:r>
    </w:p>
    <w:p>
      <w:pPr>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中类”专业青年教师数字素养及信息化</w:t>
      </w: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教学能力提升培训</w:t>
      </w:r>
      <w:r>
        <w:rPr>
          <w:rFonts w:hint="eastAsia" w:ascii="方正小标宋简体" w:hAnsi="方正小标宋简体" w:eastAsia="方正小标宋简体" w:cs="方正小标宋简体"/>
          <w:sz w:val="44"/>
          <w:szCs w:val="44"/>
        </w:rPr>
        <w:t>方案</w:t>
      </w:r>
      <w:bookmarkEnd w:id="0"/>
      <w:bookmarkEnd w:id="1"/>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长 安 </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月</w:t>
      </w:r>
    </w:p>
    <w:p>
      <w:pPr>
        <w:jc w:val="both"/>
        <w:rPr>
          <w:rFonts w:hint="eastAsia" w:ascii="仿宋_GB2312" w:hAnsi="仿宋_GB2312" w:eastAsia="仿宋_GB2312" w:cs="仿宋_GB2312"/>
          <w:sz w:val="32"/>
          <w:szCs w:val="32"/>
        </w:rPr>
      </w:pPr>
    </w:p>
    <w:sdt>
      <w:sdtPr>
        <w:rPr>
          <w:rFonts w:ascii="宋体" w:hAnsi="宋体" w:eastAsia="宋体" w:cstheme="minorBidi"/>
          <w:kern w:val="2"/>
          <w:sz w:val="21"/>
          <w:szCs w:val="24"/>
          <w:lang w:val="en-US" w:eastAsia="zh-CN" w:bidi="ar-SA"/>
        </w:rPr>
        <w:id w:val="147454129"/>
        <w15:color w:val="DBDBDB"/>
        <w:docPartObj>
          <w:docPartGallery w:val="Table of Contents"/>
          <w:docPartUnique/>
        </w:docPartObj>
      </w:sdtPr>
      <w:sdtEndPr>
        <w:rPr>
          <w:rFonts w:hint="eastAsia" w:ascii="仿宋_GB2312" w:hAnsi="仿宋_GB2312" w:eastAsia="仿宋_GB2312" w:cs="仿宋_GB2312"/>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6"/>
            <w:tabs>
              <w:tab w:val="right" w:leader="dot" w:pos="8306"/>
            </w:tabs>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_Toc16218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一、 培训背景</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_Toc16218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_Toc10307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二、 培训基本情况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_Toc10307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_Toc25100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（一） 培训对象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_Toc25100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_Toc1626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（二） 培训目标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_Toc22242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（三） 培训需求分析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_Toc21922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（四） 培训模式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_Toc20041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（五） 培训专家团队结构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_Toc29650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三、 培训单位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_Toc29650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_Toc18987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（一） 牵头单位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_Toc23429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四、 培训内容</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_Toc23429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_Toc3884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（一） 培训内容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_Toc3884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_Toc31713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（二） 培训特色与创新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_Toc31713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_Toc2739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（三） 成果产出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_Toc23449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（四） 培训课程计划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_Toc15427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五、 培训保障</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_Toc15427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_Toc32226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（一） 培训的资源情况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_Toc32226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560" w:firstLineChars="200"/>
            <w:textAlignment w:val="auto"/>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_Toc13598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（二） 后勤保障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_Toc13598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lang w:val="en-US" w:eastAsia="zh-CN"/>
            </w:rPr>
            <w:fldChar w:fldCharType="end"/>
          </w:r>
        </w:p>
      </w:sdtContent>
    </w:sdt>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outlineLvl w:val="0"/>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bookmarkStart w:id="2" w:name="_Toc16218"/>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培训背景</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党的二十大报告中提出“推进教育数字化，建设全民终身学习的学习型社会、学习型大国”，这标志着推进教育数字化已经成为全党全社会高度共识和重要战略任务。自进入二十一世纪以来，数字技术更新迭代速度日益加快，与此同</w:t>
      </w:r>
      <w:r>
        <w:rPr>
          <w:rFonts w:hint="eastAsia" w:ascii="仿宋_GB2312" w:hAnsi="仿宋_GB2312" w:eastAsia="仿宋_GB2312" w:cs="仿宋_GB2312"/>
          <w:color w:val="auto"/>
          <w:sz w:val="32"/>
          <w:szCs w:val="32"/>
          <w:lang w:val="en-US" w:eastAsia="zh-CN"/>
        </w:rPr>
        <w:t>时，数字技术与教育</w:t>
      </w:r>
      <w:r>
        <w:rPr>
          <w:rFonts w:hint="eastAsia" w:ascii="仿宋_GB2312" w:hAnsi="仿宋_GB2312" w:eastAsia="仿宋_GB2312" w:cs="仿宋_GB2312"/>
          <w:sz w:val="32"/>
          <w:szCs w:val="32"/>
          <w:lang w:val="en-US" w:eastAsia="zh-CN"/>
        </w:rPr>
        <w:t>教学的融合发展正在逐步深化。2022年，为全面贯彻落实党的二十大精神，扎实推进国家教育数字化战略行动，完善教育信息化标准体系，提升教师利用数字技术优化、创新和变革教育教学活动的意识、能力和责任，教育部针对培养教师数字素养，发布了《教师数字素养》教育行业标准，提出了包括有五个一级维度、13个二级维度和</w:t>
      </w:r>
      <w:r>
        <w:rPr>
          <w:rFonts w:hint="eastAsia" w:ascii="仿宋_GB2312" w:hAnsi="仿宋_GB2312" w:eastAsia="仿宋_GB2312" w:cs="仿宋_GB2312"/>
          <w:color w:val="auto"/>
          <w:sz w:val="32"/>
          <w:szCs w:val="32"/>
          <w:lang w:val="en-US" w:eastAsia="zh-CN"/>
        </w:rPr>
        <w:t>33个三级维度的教师数字素养框架。这标志着教师数字素养提升已成为当下教育数字化转型的重要关键之一。作为交通强国建设试点单位，长安大学紧跟国家重大战略方向，不断推进交通类拔尖创新本科人才培养，持续推进科教兴国战略布局，</w:t>
      </w:r>
      <w:r>
        <w:rPr>
          <w:rFonts w:hint="eastAsia" w:ascii="仿宋_GB2312" w:hAnsi="仿宋_GB2312" w:eastAsia="仿宋_GB2312" w:cs="仿宋_GB2312"/>
          <w:sz w:val="32"/>
          <w:szCs w:val="32"/>
          <w:lang w:val="en-US" w:eastAsia="zh-CN"/>
        </w:rPr>
        <w:t>扎实推进国家教育数字化战略行动。在教育数字化变革浪潮中，为顺应时代发展需求，我校依据自身优势学科特色，针对交通运输大类专业青年教师数字化教学能力提升拟定了本项目方案。</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outlineLvl w:val="0"/>
        <w:rPr>
          <w:rFonts w:hint="eastAsia" w:ascii="黑体" w:hAnsi="黑体" w:eastAsia="黑体" w:cs="黑体"/>
          <w:sz w:val="32"/>
          <w:szCs w:val="32"/>
          <w:lang w:val="en-US" w:eastAsia="zh-CN"/>
        </w:rPr>
      </w:pPr>
      <w:bookmarkStart w:id="3" w:name="_Toc10307"/>
      <w:r>
        <w:rPr>
          <w:rFonts w:hint="eastAsia" w:ascii="黑体" w:hAnsi="黑体" w:eastAsia="黑体" w:cs="黑体"/>
          <w:sz w:val="32"/>
          <w:szCs w:val="32"/>
          <w:lang w:val="en-US" w:eastAsia="zh-CN"/>
        </w:rPr>
        <w:t>培训基本情况</w:t>
      </w:r>
      <w:bookmarkEnd w:id="3"/>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4" w:name="_Toc25100"/>
      <w:r>
        <w:rPr>
          <w:rFonts w:hint="eastAsia" w:ascii="楷体" w:hAnsi="楷体" w:eastAsia="楷体" w:cs="楷体"/>
          <w:sz w:val="32"/>
          <w:szCs w:val="32"/>
          <w:lang w:val="en-US" w:eastAsia="zh-CN"/>
        </w:rPr>
        <w:t>培训对象</w:t>
      </w:r>
      <w:bookmarkEnd w:id="4"/>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楷体" w:hAnsi="楷体" w:eastAsia="楷体" w:cs="楷体"/>
          <w:sz w:val="32"/>
          <w:szCs w:val="32"/>
          <w:lang w:val="en-US" w:eastAsia="zh-CN"/>
        </w:rPr>
      </w:pPr>
      <w:r>
        <w:rPr>
          <w:rFonts w:hint="eastAsia" w:ascii="仿宋_GB2312" w:hAnsi="仿宋_GB2312" w:eastAsia="仿宋_GB2312" w:cs="仿宋_GB2312"/>
          <w:b w:val="0"/>
          <w:bCs/>
          <w:sz w:val="32"/>
          <w:szCs w:val="32"/>
          <w:lang w:val="en-US" w:eastAsia="zh-CN"/>
        </w:rPr>
        <w:t>本次培训对象为全国中职院校“交通运输大类”相关专业青年任课教师。</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5" w:name="_Toc1626"/>
      <w:r>
        <w:rPr>
          <w:rFonts w:hint="eastAsia" w:ascii="楷体" w:hAnsi="楷体" w:eastAsia="楷体" w:cs="楷体"/>
          <w:sz w:val="32"/>
          <w:szCs w:val="32"/>
          <w:lang w:val="en-US" w:eastAsia="zh-CN"/>
        </w:rPr>
        <w:t>培训目标</w:t>
      </w:r>
      <w:bookmarkEnd w:id="5"/>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青年教师作为当下教师队伍的重要组成部分，是深入实施科教兴国战略、推进国家教育数字化战略行动、建设教育强国的生力军，是推进教育数字化战略行动的先锋力量。</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培训旨在帮助参训青年教师进一步提升数字化教学能力，培养应用数字技术开展教学的意识、方法和技能，以数字赋能教育教学数字化转型，全面推进数字技术与交通运输专业课程的深度融合，利用信息化工具辅助开展好教学工作，解决青年教师在数字化教学中遇到的“如何做？做什么？如何做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课程的设置上，本项目立足于中职院校交通运输大类专业青年教师的教学与发展需求，在全面提升其数字化教育教学与未来发展所需相关知识、技术、技能和理念的同时，并安排有相关工作坊等实践教学增强其专业技术，教学能力具体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1、通过数字化教学政策理论、专业技能的学习，使参训教师对国家教育数字化战略、教学能力的提升及教师数字素养提升等方面内容有全面的理解。</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通过相关课程案例解读及实战工作坊训练，使参训教师对如何开展数字化教学有初步的认识、对如何整合线上线下数字教学资源工具辅助授课有具体的思路，对翻转课堂等数字化教学方式、手段有深入的了解。</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3、通过实践、研讨学习，使参训教师深入到陕西省高等学校智慧校园示范校进行实践交流，在问题和讨论中借鉴先进经验。</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6" w:name="_Toc22242"/>
      <w:r>
        <w:rPr>
          <w:rFonts w:hint="eastAsia" w:ascii="楷体" w:hAnsi="楷体" w:eastAsia="楷体" w:cs="楷体"/>
          <w:sz w:val="32"/>
          <w:szCs w:val="32"/>
          <w:lang w:val="en-US" w:eastAsia="zh-CN"/>
        </w:rPr>
        <w:t>培训需求分析</w:t>
      </w:r>
      <w:bookmarkEnd w:id="6"/>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交通运输是技术应用性行业，由于行业特性，在其人才培养上，也呈现出了系统理论和实践并重、多学科交叉等特点。因此，为全面推进人才强国、科教兴国、交通强国等国家重大战略方针，交通运输领域人才的培养是其发展的必要条件，是重中之重。这同时也对中职院校相关行业领域人才培养提出了更高的标准。近几年，伴随着交通运输行业和科技的高速发展，新技术、新装备、新工艺层出不穷，相应的对高职院校青年教师的教学能力、综合素养水平也提出了更高的要求，在时代发展的需求下，青年教师的数字素养和数字化教学能力提升也应顺势而为、乘势而上。</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u w:val="none"/>
          <w:lang w:val="en-US" w:eastAsia="zh-CN"/>
        </w:rPr>
      </w:pPr>
      <w:bookmarkStart w:id="7" w:name="_Toc21922"/>
      <w:r>
        <w:rPr>
          <w:rFonts w:hint="eastAsia" w:ascii="楷体" w:hAnsi="楷体" w:eastAsia="楷体" w:cs="楷体"/>
          <w:sz w:val="32"/>
          <w:szCs w:val="32"/>
          <w:u w:val="none"/>
          <w:lang w:val="en-US" w:eastAsia="zh-CN"/>
        </w:rPr>
        <w:t>培训模式</w:t>
      </w:r>
      <w:bookmarkEnd w:id="7"/>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次培训注重学思践悟结合，采用“专题辅导+实践教学+研究讨论实操+专家点评指导”模式。邀请陕西相关领域不同高校专家进行授课和交流，培训综合运用案例式、研讨式、情景式教学模式、工作坊、学员论坛，在专家指导下掌握科学研究的技术和方法，在研讨交流中进行成果凝练与实操，在实践教学中感悟体验和交流。</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8" w:name="_Toc20041"/>
      <w:r>
        <w:rPr>
          <w:rFonts w:hint="eastAsia" w:ascii="楷体" w:hAnsi="楷体" w:eastAsia="楷体" w:cs="楷体"/>
          <w:sz w:val="32"/>
          <w:szCs w:val="32"/>
          <w:lang w:val="en-US" w:eastAsia="zh-CN"/>
        </w:rPr>
        <w:t>培训专家团队结构</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长安大学在职业院校教师培训方面汇聚省内外各高校、职业院校、科研及企事业单位等知名专家、教授、学者型领导，师资力量雄厚。本项目培训拟选聘长安大学、陕西师范大学、西安航空职业技术学院、陕西能源职业技术学院相关领域专家、教授、学科带头人、创新团队负责人，进行专题辅导和点评指导，其中教授6位，副教授2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outlineLvl w:val="0"/>
        <w:rPr>
          <w:rFonts w:hint="eastAsia" w:ascii="黑体" w:hAnsi="黑体" w:eastAsia="黑体" w:cs="黑体"/>
          <w:sz w:val="32"/>
          <w:szCs w:val="32"/>
          <w:lang w:val="en-US" w:eastAsia="zh-CN"/>
        </w:rPr>
      </w:pPr>
      <w:bookmarkStart w:id="9" w:name="_Toc29650"/>
      <w:r>
        <w:rPr>
          <w:rFonts w:hint="eastAsia" w:ascii="黑体" w:hAnsi="黑体" w:eastAsia="黑体" w:cs="黑体"/>
          <w:sz w:val="32"/>
          <w:szCs w:val="32"/>
          <w:lang w:val="en-US" w:eastAsia="zh-CN"/>
        </w:rPr>
        <w:t>培训单位</w:t>
      </w:r>
      <w:bookmarkEnd w:id="9"/>
    </w:p>
    <w:p>
      <w:pPr>
        <w:pStyle w:val="4"/>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0" w:name="_Toc18987"/>
      <w:r>
        <w:rPr>
          <w:rFonts w:hint="eastAsia" w:ascii="楷体" w:hAnsi="楷体" w:eastAsia="楷体" w:cs="楷体"/>
          <w:sz w:val="32"/>
          <w:szCs w:val="32"/>
          <w:lang w:val="en-US" w:eastAsia="zh-CN"/>
        </w:rPr>
        <w:t>牵头单位</w:t>
      </w:r>
      <w:bookmarkEnd w:id="10"/>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default"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长安大学直属国家教育部，是国家首批“</w:t>
      </w:r>
      <w:r>
        <w:rPr>
          <w:rFonts w:hint="default" w:ascii="仿宋_GB2312" w:hAnsi="仿宋_GB2312" w:eastAsia="仿宋_GB2312" w:cs="仿宋_GB2312"/>
          <w:b w:val="0"/>
          <w:bCs/>
          <w:color w:val="auto"/>
          <w:kern w:val="44"/>
          <w:sz w:val="32"/>
          <w:szCs w:val="32"/>
          <w:lang w:val="en-US" w:eastAsia="zh-CN" w:bidi="ar-SA"/>
        </w:rPr>
        <w:t>211</w:t>
      </w:r>
      <w:r>
        <w:rPr>
          <w:rFonts w:hint="eastAsia" w:ascii="仿宋_GB2312" w:hAnsi="仿宋_GB2312" w:eastAsia="仿宋_GB2312" w:cs="仿宋_GB2312"/>
          <w:b w:val="0"/>
          <w:bCs/>
          <w:color w:val="auto"/>
          <w:kern w:val="44"/>
          <w:sz w:val="32"/>
          <w:szCs w:val="32"/>
          <w:lang w:val="en-US" w:eastAsia="zh-CN" w:bidi="ar-SA"/>
        </w:rPr>
        <w:t>工程”重点建设大学、国家“</w:t>
      </w:r>
      <w:r>
        <w:rPr>
          <w:rFonts w:hint="default" w:ascii="仿宋_GB2312" w:hAnsi="仿宋_GB2312" w:eastAsia="仿宋_GB2312" w:cs="仿宋_GB2312"/>
          <w:b w:val="0"/>
          <w:bCs/>
          <w:color w:val="auto"/>
          <w:kern w:val="44"/>
          <w:sz w:val="32"/>
          <w:szCs w:val="32"/>
          <w:lang w:val="en-US" w:eastAsia="zh-CN" w:bidi="ar-SA"/>
        </w:rPr>
        <w:t>985</w:t>
      </w:r>
      <w:r>
        <w:rPr>
          <w:rFonts w:hint="eastAsia" w:ascii="仿宋_GB2312" w:hAnsi="仿宋_GB2312" w:eastAsia="仿宋_GB2312" w:cs="仿宋_GB2312"/>
          <w:b w:val="0"/>
          <w:bCs/>
          <w:color w:val="auto"/>
          <w:kern w:val="44"/>
          <w:sz w:val="32"/>
          <w:szCs w:val="32"/>
          <w:lang w:val="en-US" w:eastAsia="zh-CN" w:bidi="ar-SA"/>
        </w:rPr>
        <w:t>优势学科创新平台”建设高校、国家“双一流”建设高校。</w:t>
      </w:r>
      <w:r>
        <w:rPr>
          <w:rFonts w:hint="default" w:ascii="仿宋_GB2312" w:hAnsi="仿宋_GB2312" w:eastAsia="仿宋_GB2312" w:cs="仿宋_GB2312"/>
          <w:b w:val="0"/>
          <w:bCs/>
          <w:color w:val="auto"/>
          <w:kern w:val="44"/>
          <w:sz w:val="32"/>
          <w:szCs w:val="32"/>
          <w:lang w:val="en-US" w:eastAsia="zh-CN" w:bidi="ar-SA"/>
        </w:rPr>
        <w:t>2021</w:t>
      </w:r>
      <w:r>
        <w:rPr>
          <w:rFonts w:hint="eastAsia" w:ascii="仿宋_GB2312" w:hAnsi="仿宋_GB2312" w:eastAsia="仿宋_GB2312" w:cs="仿宋_GB2312"/>
          <w:b w:val="0"/>
          <w:bCs/>
          <w:color w:val="auto"/>
          <w:kern w:val="44"/>
          <w:sz w:val="32"/>
          <w:szCs w:val="32"/>
          <w:lang w:val="en-US" w:eastAsia="zh-CN" w:bidi="ar-SA"/>
        </w:rPr>
        <w:t>年获批交通强国建设试点单位。经过</w:t>
      </w:r>
      <w:r>
        <w:rPr>
          <w:rFonts w:hint="default" w:ascii="仿宋_GB2312" w:hAnsi="仿宋_GB2312" w:eastAsia="仿宋_GB2312" w:cs="仿宋_GB2312"/>
          <w:b w:val="0"/>
          <w:bCs/>
          <w:color w:val="auto"/>
          <w:kern w:val="44"/>
          <w:sz w:val="32"/>
          <w:szCs w:val="32"/>
          <w:lang w:val="en-US" w:eastAsia="zh-CN" w:bidi="ar-SA"/>
        </w:rPr>
        <w:t>70</w:t>
      </w:r>
      <w:r>
        <w:rPr>
          <w:rFonts w:hint="eastAsia" w:ascii="仿宋_GB2312" w:hAnsi="仿宋_GB2312" w:eastAsia="仿宋_GB2312" w:cs="仿宋_GB2312"/>
          <w:b w:val="0"/>
          <w:bCs/>
          <w:color w:val="auto"/>
          <w:kern w:val="44"/>
          <w:sz w:val="32"/>
          <w:szCs w:val="32"/>
          <w:lang w:val="en-US" w:eastAsia="zh-CN" w:bidi="ar-SA"/>
        </w:rPr>
        <w:t>多年发展，成为我国交通运输、自然资源、城乡建设三大行业领域高层次人才培养、高水平科学研究、高质量社会服务的重要基地。学校积极拓展“交通+”发展内涵，构建形成以交通运输工程世界一流学科为主体，辐射交通基础设施建养、交通地质与环境、交通能源与材料、未来交通等多个领域的“大交通”学科体系，在特殊环境公路、绿色建养、智能装备、车路协同、智慧运维等方向上实现了重要突破。</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color w:val="auto"/>
          <w:kern w:val="44"/>
          <w:sz w:val="32"/>
          <w:szCs w:val="32"/>
          <w:lang w:val="en-US" w:eastAsia="zh-CN" w:bidi="ar-SA"/>
        </w:rPr>
        <w:t>长安大学先后被授予国家级专业技术人员继续教育基地、国家级职业教育“双师型”教师培训基地、陕西省职业院校教师培训基地、陕西省干部教育培训高校基地、交通运输部西部培训项目指定高校等多项国家级、省部级称号，在教育培训方面具有专业优势，培训经验丰富。学校从2023年开始承担职业院校教师培训，已成功举办6期职业院校教师培训班，效果良好。2021年-2023年长安大学承担国家级项目1项，省级培训项目41项，主要以交通运输、国土资源和干部培训项目为主，具有丰富的教育培训经验。2024年学校又成功获批国家级专业技术人员培训项目1个，陕西省职业院校教师培训项目2个，均待下半年实施，为国家级职业院校教师培训奠定了良好基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outlineLvl w:val="0"/>
        <w:rPr>
          <w:rFonts w:hint="eastAsia" w:ascii="黑体" w:hAnsi="黑体" w:eastAsia="黑体" w:cs="黑体"/>
          <w:sz w:val="32"/>
          <w:szCs w:val="32"/>
          <w:lang w:val="en-US" w:eastAsia="zh-CN"/>
        </w:rPr>
      </w:pPr>
      <w:bookmarkStart w:id="11" w:name="_Toc23429"/>
      <w:r>
        <w:rPr>
          <w:rFonts w:hint="eastAsia" w:ascii="黑体" w:hAnsi="黑体" w:eastAsia="黑体" w:cs="黑体"/>
          <w:sz w:val="32"/>
          <w:szCs w:val="32"/>
          <w:lang w:val="en-US" w:eastAsia="zh-CN"/>
        </w:rPr>
        <w:t>培训内容</w:t>
      </w:r>
      <w:bookmarkEnd w:id="11"/>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2" w:name="_Toc3884"/>
      <w:r>
        <w:rPr>
          <w:rFonts w:hint="eastAsia" w:ascii="楷体" w:hAnsi="楷体" w:eastAsia="楷体" w:cs="楷体"/>
          <w:sz w:val="32"/>
          <w:szCs w:val="32"/>
          <w:lang w:val="en-US" w:eastAsia="zh-CN"/>
        </w:rPr>
        <w:t>培训内容</w:t>
      </w:r>
      <w:bookmarkEnd w:id="12"/>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color w:val="auto"/>
          <w:kern w:val="44"/>
          <w:sz w:val="32"/>
          <w:szCs w:val="32"/>
          <w:lang w:val="en-US" w:eastAsia="zh-CN" w:bidi="ar-SA"/>
        </w:rPr>
        <w:t>本次培训分政策理论、专业技能、实践教学与研讨、现场教学四个模块。通过对相关政策、专业技能的讲解，结合我校教师发表在高等教育等核心期刊或是教学创新大赛获奖作品的优秀案例的讲解和研讨，帮助参训教师更好地了解专业课程与数字化教学手段、思想的有机融合，最后辅以实战工作坊与现场教学，更好的将专业理论与实践教学深度融合，切实提升其数字化教学能力。</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3" w:name="_Toc31713"/>
      <w:r>
        <w:rPr>
          <w:rFonts w:hint="eastAsia" w:ascii="楷体" w:hAnsi="楷体" w:eastAsia="楷体" w:cs="楷体"/>
          <w:sz w:val="32"/>
          <w:szCs w:val="32"/>
          <w:lang w:val="en-US" w:eastAsia="zh-CN"/>
        </w:rPr>
        <w:t>培训特色与创新</w:t>
      </w:r>
      <w:bookmarkEnd w:id="13"/>
    </w:p>
    <w:p>
      <w:pPr>
        <w:pStyle w:val="12"/>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本次培训注重学思悟践结合，不仅有政策理论宣贯与专业技能提升，还添加了案例教学与工作坊等安排，切实</w:t>
      </w: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60" w:lineRule="exact"/>
        <w:ind w:right="0" w:rightChars="0"/>
        <w:jc w:val="both"/>
        <w:textAlignment w:val="auto"/>
        <w:rPr>
          <w:rFonts w:hint="default"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做到在练中学，在学中练。使得大家能快速上手掌握相关知识技能。</w:t>
      </w:r>
    </w:p>
    <w:p>
      <w:pPr>
        <w:pStyle w:val="12"/>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color w:val="auto"/>
          <w:kern w:val="44"/>
          <w:sz w:val="32"/>
          <w:szCs w:val="32"/>
          <w:lang w:val="en-US" w:eastAsia="zh-CN" w:bidi="ar-SA"/>
        </w:rPr>
        <w:t>培训管理服务采用分组积分制管理，针对主题做好教学、研讨、实操等环节管理服务，在课间组织丰富教学活动，趣味性和互动性强。</w:t>
      </w:r>
    </w:p>
    <w:p>
      <w:pPr>
        <w:pStyle w:val="12"/>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color w:val="auto"/>
          <w:kern w:val="44"/>
          <w:sz w:val="32"/>
          <w:szCs w:val="32"/>
          <w:lang w:val="en-US" w:eastAsia="zh-CN" w:bidi="ar-SA"/>
        </w:rPr>
        <w:t>培训搭建高校、职业院校、企业教科研交流合作平台，培训具有延续性，促进各单位共同发展。</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4" w:name="_Toc2739"/>
      <w:r>
        <w:rPr>
          <w:rFonts w:hint="eastAsia" w:ascii="楷体" w:hAnsi="楷体" w:eastAsia="楷体" w:cs="楷体"/>
          <w:sz w:val="32"/>
          <w:szCs w:val="32"/>
          <w:lang w:val="en-US" w:eastAsia="zh-CN"/>
        </w:rPr>
        <w:t>成果产出</w:t>
      </w:r>
      <w:bookmarkEnd w:id="14"/>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default" w:ascii="仿宋_GB2312" w:hAnsi="仿宋_GB2312" w:eastAsia="仿宋_GB2312" w:cs="仿宋_GB2312"/>
          <w:b w:val="0"/>
          <w:bCs/>
          <w:color w:val="auto"/>
          <w:kern w:val="44"/>
          <w:sz w:val="32"/>
          <w:szCs w:val="32"/>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val="0"/>
          <w:bCs/>
          <w:color w:val="auto"/>
          <w:kern w:val="44"/>
          <w:sz w:val="32"/>
          <w:szCs w:val="32"/>
          <w:lang w:val="en-US" w:eastAsia="zh-CN" w:bidi="ar-SA"/>
        </w:rPr>
        <w:t>通过理论和实践教学相结合，使参训教师对数字化教学的基本方法和技能有所掌握，项目结束后，要求每人撰写一篇论文；运用所学的科学研究的技术和方法，通过分组研讨、专家点评指导，每个小组凝练出一个研讨成果汇报展示的材料，为今后专业课程与数字技术有机融合提供新思路，帮助青年教师全面提高其数字素养，对数字化教学的相关手段与方法有了新的认识与了解。</w:t>
      </w:r>
    </w:p>
    <w:p>
      <w:pPr>
        <w:pStyle w:val="4"/>
        <w:keepNext w:val="0"/>
        <w:keepLines w:val="0"/>
        <w:pageBreakBefore/>
        <w:widowControl w:val="0"/>
        <w:numPr>
          <w:ilvl w:val="0"/>
          <w:numId w:val="4"/>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b/>
          <w:bCs/>
          <w:sz w:val="32"/>
          <w:szCs w:val="32"/>
          <w:lang w:val="en-US" w:eastAsia="zh-CN"/>
        </w:rPr>
      </w:pPr>
      <w:bookmarkStart w:id="15" w:name="_Toc23449"/>
      <w:r>
        <w:rPr>
          <w:rFonts w:hint="eastAsia" w:ascii="楷体" w:hAnsi="楷体" w:eastAsia="楷体" w:cs="楷体"/>
          <w:sz w:val="32"/>
          <w:szCs w:val="32"/>
          <w:lang w:val="en-US" w:eastAsia="zh-CN"/>
        </w:rPr>
        <w:t>培训课程计划</w:t>
      </w:r>
      <w:bookmarkEnd w:id="15"/>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textAlignment w:val="auto"/>
        <w:rPr>
          <w:rFonts w:hint="eastAsia" w:ascii="仿宋_GB2312" w:hAnsi="仿宋_GB2312" w:eastAsia="仿宋_GB2312" w:cs="仿宋_GB2312"/>
          <w:b w:val="0"/>
          <w:bCs/>
          <w:color w:val="auto"/>
          <w:kern w:val="44"/>
          <w:sz w:val="32"/>
          <w:szCs w:val="32"/>
          <w:lang w:val="en-US" w:eastAsia="zh-CN" w:bidi="ar-SA"/>
        </w:rPr>
      </w:pPr>
    </w:p>
    <w:tbl>
      <w:tblPr>
        <w:tblStyle w:val="7"/>
        <w:tblW w:w="134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0"/>
        <w:gridCol w:w="1018"/>
        <w:gridCol w:w="1187"/>
        <w:gridCol w:w="2351"/>
        <w:gridCol w:w="400"/>
        <w:gridCol w:w="2460"/>
        <w:gridCol w:w="1236"/>
        <w:gridCol w:w="1406"/>
        <w:gridCol w:w="1707"/>
        <w:gridCol w:w="12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restart"/>
            <w:noWrap w:val="0"/>
            <w:vAlign w:val="center"/>
          </w:tcPr>
          <w:p>
            <w:pPr>
              <w:spacing w:before="48" w:after="48"/>
              <w:jc w:val="center"/>
              <w:rPr>
                <w:rFonts w:hint="eastAsia" w:ascii="Times New Roman" w:hAnsi="Times New Roman" w:cs="Times New Roman" w:eastAsiaTheme="minorEastAsia"/>
                <w:b/>
                <w:color w:val="auto"/>
                <w:szCs w:val="21"/>
                <w:lang w:eastAsia="zh-CN"/>
              </w:rPr>
            </w:pPr>
            <w:r>
              <w:rPr>
                <w:rFonts w:hint="default" w:ascii="黑体" w:hAnsi="黑体" w:eastAsia="黑体" w:cs="黑体"/>
                <w:b w:val="0"/>
                <w:bCs/>
                <w:color w:val="auto"/>
                <w:kern w:val="2"/>
                <w:sz w:val="21"/>
                <w:szCs w:val="21"/>
                <w:lang w:val="en-US" w:eastAsia="zh-CN" w:bidi="ar-SA"/>
              </w:rPr>
              <w:t>课程</w:t>
            </w:r>
            <w:r>
              <w:rPr>
                <w:rFonts w:hint="eastAsia" w:ascii="黑体" w:hAnsi="黑体" w:eastAsia="黑体" w:cs="黑体"/>
                <w:b w:val="0"/>
                <w:bCs/>
                <w:color w:val="auto"/>
                <w:kern w:val="2"/>
                <w:sz w:val="21"/>
                <w:szCs w:val="21"/>
                <w:lang w:val="en-US" w:eastAsia="zh-CN" w:bidi="ar-SA"/>
              </w:rPr>
              <w:t>安排</w:t>
            </w:r>
          </w:p>
        </w:tc>
        <w:tc>
          <w:tcPr>
            <w:tcW w:w="1018"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lang w:val="en-US" w:eastAsia="zh-CN"/>
              </w:rPr>
            </w:pPr>
            <w:r>
              <w:rPr>
                <w:rFonts w:hint="eastAsia" w:ascii="黑体" w:hAnsi="黑体" w:eastAsia="黑体" w:cs="黑体"/>
                <w:b w:val="0"/>
                <w:bCs/>
                <w:color w:val="auto"/>
                <w:szCs w:val="21"/>
                <w:lang w:val="en-US" w:eastAsia="zh-CN"/>
              </w:rPr>
              <w:t>阶段</w:t>
            </w:r>
          </w:p>
        </w:tc>
        <w:tc>
          <w:tcPr>
            <w:tcW w:w="1187"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lang w:val="en-US" w:eastAsia="zh-CN"/>
              </w:rPr>
            </w:pPr>
            <w:r>
              <w:rPr>
                <w:rFonts w:hint="eastAsia" w:ascii="黑体" w:hAnsi="黑体" w:eastAsia="黑体" w:cs="黑体"/>
                <w:b w:val="0"/>
                <w:bCs/>
                <w:color w:val="auto"/>
                <w:szCs w:val="21"/>
                <w:lang w:val="en-US" w:eastAsia="zh-CN"/>
              </w:rPr>
              <w:t>模块</w:t>
            </w:r>
          </w:p>
        </w:tc>
        <w:tc>
          <w:tcPr>
            <w:tcW w:w="2351"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lang w:val="en-US" w:eastAsia="zh-CN"/>
              </w:rPr>
            </w:pPr>
            <w:r>
              <w:rPr>
                <w:rFonts w:hint="eastAsia" w:ascii="黑体" w:hAnsi="黑体" w:eastAsia="黑体" w:cs="黑体"/>
                <w:b w:val="0"/>
                <w:bCs/>
                <w:color w:val="auto"/>
                <w:szCs w:val="21"/>
                <w:lang w:val="en-US" w:eastAsia="zh-CN"/>
              </w:rPr>
              <w:t>课程</w:t>
            </w:r>
          </w:p>
        </w:tc>
        <w:tc>
          <w:tcPr>
            <w:tcW w:w="400" w:type="dxa"/>
            <w:tcBorders>
              <w:right w:val="single" w:color="auto" w:sz="4" w:space="0"/>
            </w:tcBorders>
            <w:noWrap w:val="0"/>
            <w:vAlign w:val="center"/>
          </w:tcPr>
          <w:p>
            <w:pPr>
              <w:pStyle w:val="15"/>
              <w:spacing w:before="20" w:after="20"/>
              <w:ind w:right="113" w:firstLine="0" w:firstLineChars="0"/>
              <w:jc w:val="left"/>
              <w:rPr>
                <w:rFonts w:hint="eastAsia" w:ascii="黑体" w:hAnsi="黑体" w:eastAsia="黑体" w:cs="黑体"/>
                <w:b w:val="0"/>
                <w:bCs/>
                <w:color w:val="auto"/>
                <w:szCs w:val="21"/>
              </w:rPr>
            </w:pPr>
            <w:r>
              <w:rPr>
                <w:rFonts w:hint="eastAsia" w:ascii="黑体" w:hAnsi="黑体" w:eastAsia="黑体" w:cs="黑体"/>
                <w:b w:val="0"/>
                <w:bCs/>
                <w:color w:val="auto"/>
                <w:szCs w:val="21"/>
              </w:rPr>
              <w:t>学时</w:t>
            </w:r>
          </w:p>
        </w:tc>
        <w:tc>
          <w:tcPr>
            <w:tcW w:w="2460" w:type="dxa"/>
            <w:tcBorders>
              <w:left w:val="single" w:color="auto" w:sz="4" w:space="0"/>
            </w:tcBorders>
            <w:noWrap w:val="0"/>
            <w:vAlign w:val="center"/>
          </w:tcPr>
          <w:p>
            <w:pPr>
              <w:pStyle w:val="15"/>
              <w:spacing w:before="20" w:after="20"/>
              <w:ind w:right="113" w:firstLine="0" w:firstLineChars="0"/>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内容要点</w:t>
            </w:r>
          </w:p>
        </w:tc>
        <w:tc>
          <w:tcPr>
            <w:tcW w:w="1236"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vertAlign w:val="superscript"/>
                <w:lang w:eastAsia="zh-CN"/>
              </w:rPr>
            </w:pPr>
            <w:r>
              <w:rPr>
                <w:rFonts w:hint="eastAsia" w:ascii="黑体" w:hAnsi="黑体" w:eastAsia="黑体" w:cs="黑体"/>
                <w:b w:val="0"/>
                <w:bCs/>
                <w:color w:val="auto"/>
                <w:szCs w:val="21"/>
              </w:rPr>
              <w:t>培训方式</w:t>
            </w:r>
          </w:p>
        </w:tc>
        <w:tc>
          <w:tcPr>
            <w:tcW w:w="1406"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授课教师</w:t>
            </w:r>
          </w:p>
        </w:tc>
        <w:tc>
          <w:tcPr>
            <w:tcW w:w="1707"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单位</w:t>
            </w:r>
          </w:p>
        </w:tc>
        <w:tc>
          <w:tcPr>
            <w:tcW w:w="1236" w:type="dxa"/>
            <w:noWrap w:val="0"/>
            <w:vAlign w:val="center"/>
          </w:tcPr>
          <w:p>
            <w:pPr>
              <w:pStyle w:val="15"/>
              <w:spacing w:before="20" w:after="20"/>
              <w:ind w:right="113" w:firstLine="0" w:firstLineChars="0"/>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职称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第一天</w:t>
            </w:r>
          </w:p>
        </w:tc>
        <w:tc>
          <w:tcPr>
            <w:tcW w:w="11983" w:type="dxa"/>
            <w:gridSpan w:val="8"/>
            <w:noWrap w:val="0"/>
            <w:vAlign w:val="center"/>
          </w:tcPr>
          <w:p>
            <w:pPr>
              <w:pStyle w:val="15"/>
              <w:spacing w:before="20" w:after="20"/>
              <w:ind w:right="113" w:rightChars="0" w:firstLine="0" w:firstLineChars="0"/>
              <w:jc w:val="left"/>
              <w:rPr>
                <w:rFonts w:hint="eastAsia" w:ascii="仿宋_GB2312" w:hAnsi="仿宋_GB2312" w:eastAsia="仿宋_GB2312" w:cs="仿宋_GB2312"/>
                <w:color w:val="4874CB" w:themeColor="accent1"/>
                <w:kern w:val="2"/>
                <w:sz w:val="21"/>
                <w:szCs w:val="21"/>
                <w:lang w:val="en-US" w:eastAsia="zh-CN" w:bidi="ar-SA"/>
                <w14:textFill>
                  <w14:solidFill>
                    <w14:schemeClr w14:val="accent1"/>
                  </w14:solidFill>
                </w14:textFill>
              </w:rPr>
            </w:pPr>
            <w:r>
              <w:rPr>
                <w:rFonts w:hint="eastAsia" w:ascii="仿宋_GB2312" w:hAnsi="仿宋_GB2312" w:eastAsia="仿宋_GB2312" w:cs="仿宋_GB2312"/>
                <w:color w:val="auto"/>
                <w:kern w:val="0"/>
                <w:sz w:val="21"/>
                <w:szCs w:val="21"/>
                <w:lang w:val="en-US" w:eastAsia="zh-CN" w:bidi="ar-SA"/>
              </w:rPr>
              <w:t>学员报到、签到、领取资料，入住酒店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restart"/>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第二天</w:t>
            </w: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政策理论</w:t>
            </w:r>
          </w:p>
        </w:tc>
        <w:tc>
          <w:tcPr>
            <w:tcW w:w="2351"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《教育数字化转型教育中新型教育方式及实践》</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围绕教育数字化转型、新时代教育方式等方面进行讲述</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专家授课</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乜勇</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陕西师范大学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rPr>
            </w:pP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ar-SA"/>
              </w:rPr>
              <w:t>专业技能</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《全国职业院校教学能力比赛备赛指导》</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从教学目标、教学策略、教学模式及理念、教学过程设计等入手，分析近两年大赛的变化发展趋势、备赛要点、要求及参赛各环节注意事项及技巧。</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名师引领</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谢歆鑫</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西安航空职业技术学院</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rPr>
            </w:pPr>
          </w:p>
        </w:tc>
        <w:tc>
          <w:tcPr>
            <w:tcW w:w="1187" w:type="dxa"/>
            <w:noWrap w:val="0"/>
            <w:vAlign w:val="center"/>
          </w:tcPr>
          <w:p>
            <w:pPr>
              <w:pStyle w:val="15"/>
              <w:spacing w:before="20" w:after="20"/>
              <w:ind w:right="0" w:rightChars="0" w:firstLine="0" w:firstLineChars="0"/>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分组研讨</w:t>
            </w:r>
          </w:p>
        </w:tc>
        <w:tc>
          <w:tcPr>
            <w:tcW w:w="2351" w:type="dxa"/>
            <w:noWrap w:val="0"/>
            <w:vAlign w:val="center"/>
          </w:tcPr>
          <w:p>
            <w:pPr>
              <w:pStyle w:val="15"/>
              <w:spacing w:before="20" w:after="20"/>
              <w:ind w:right="0" w:rightChars="0" w:firstLine="0" w:firstLineChars="0"/>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分组分专题研讨</w:t>
            </w:r>
          </w:p>
        </w:tc>
        <w:tc>
          <w:tcPr>
            <w:tcW w:w="400" w:type="dxa"/>
            <w:tcBorders>
              <w:right w:val="single" w:color="auto" w:sz="4" w:space="0"/>
            </w:tcBorders>
            <w:noWrap w:val="0"/>
            <w:vAlign w:val="center"/>
          </w:tcPr>
          <w:p>
            <w:pPr>
              <w:pStyle w:val="15"/>
              <w:spacing w:before="20" w:after="20"/>
              <w:ind w:right="0"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default" w:ascii="Times New Roman" w:hAnsi="Times New Roman" w:eastAsia="仿宋_GB2312" w:cs="Times New Roman"/>
                <w:color w:val="auto"/>
                <w:szCs w:val="21"/>
                <w:lang w:val="en-US" w:eastAsia="zh-CN"/>
              </w:rPr>
              <w:t>2</w:t>
            </w:r>
          </w:p>
        </w:tc>
        <w:tc>
          <w:tcPr>
            <w:tcW w:w="2460" w:type="dxa"/>
            <w:tcBorders>
              <w:left w:val="single" w:color="auto" w:sz="4" w:space="0"/>
            </w:tcBorders>
            <w:noWrap w:val="0"/>
            <w:vAlign w:val="center"/>
          </w:tcPr>
          <w:p>
            <w:pPr>
              <w:pStyle w:val="15"/>
              <w:spacing w:before="20" w:after="20"/>
              <w:ind w:right="0"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梳理工作中的问题，</w:t>
            </w:r>
            <w:r>
              <w:rPr>
                <w:rFonts w:hint="default" w:ascii="仿宋_GB2312" w:hAnsi="仿宋_GB2312" w:eastAsia="仿宋_GB2312" w:cs="仿宋_GB2312"/>
                <w:color w:val="auto"/>
                <w:szCs w:val="21"/>
              </w:rPr>
              <w:t>每组确定一个方向作为重点进行深度研讨</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交流研讨</w:t>
            </w:r>
          </w:p>
        </w:tc>
        <w:tc>
          <w:tcPr>
            <w:tcW w:w="1406" w:type="dxa"/>
            <w:noWrap w:val="0"/>
            <w:vAlign w:val="center"/>
          </w:tcPr>
          <w:p>
            <w:pPr>
              <w:pStyle w:val="15"/>
              <w:spacing w:before="20" w:after="20"/>
              <w:ind w:right="0"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restart"/>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第三天</w:t>
            </w:r>
          </w:p>
        </w:tc>
        <w:tc>
          <w:tcPr>
            <w:tcW w:w="118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专业技能</w:t>
            </w:r>
          </w:p>
        </w:tc>
        <w:tc>
          <w:tcPr>
            <w:tcW w:w="2351"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《新时代信息技术环境下如何上好一堂课》</w:t>
            </w:r>
          </w:p>
        </w:tc>
        <w:tc>
          <w:tcPr>
            <w:tcW w:w="400" w:type="dxa"/>
            <w:tcBorders>
              <w:right w:val="single" w:color="auto" w:sz="4" w:space="0"/>
            </w:tcBorders>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围绕教育教学数字化转型背景下课堂教学设计的要素与方法进行教学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专家授课</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何聚厚</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陕西师范大学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p>
        </w:tc>
        <w:tc>
          <w:tcPr>
            <w:tcW w:w="118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学员论坛</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论坛主题：</w:t>
            </w:r>
          </w:p>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《翻转课堂教学模式在路基路面课程中的探索》</w:t>
            </w:r>
          </w:p>
        </w:tc>
        <w:tc>
          <w:tcPr>
            <w:tcW w:w="400" w:type="dxa"/>
            <w:tcBorders>
              <w:right w:val="single" w:color="auto" w:sz="4" w:space="0"/>
            </w:tcBorders>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结合《路基路面工程》课程特点的基础，以及翻转课堂教学模式教学、大家在围绕工作情况以及所学内容开展交流研讨。</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rPr>
              <w:t>交流研讨</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毛雪松</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长安大学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第四天</w:t>
            </w: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实践教学</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《AI助力高效备课与教学创新》实战应用工作坊</w:t>
            </w:r>
          </w:p>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——驾驭AI工具，提升教学能力</w:t>
            </w:r>
          </w:p>
        </w:tc>
        <w:tc>
          <w:tcPr>
            <w:tcW w:w="400" w:type="dxa"/>
            <w:tcBorders>
              <w:right w:val="single" w:color="auto" w:sz="4" w:space="0"/>
            </w:tcBorders>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8</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通过实践教学使学员掌握通义千问、百度AI、文心一言等国内主流ai软件的使用技巧，辅助课件制作资源整合，教学管理、ppt制作、音视频制作等方面需求，提升教师的教学能力</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工作坊</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芦长安</w:t>
            </w:r>
          </w:p>
        </w:tc>
        <w:tc>
          <w:tcPr>
            <w:tcW w:w="170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p>
        </w:tc>
        <w:tc>
          <w:tcPr>
            <w:tcW w:w="1236"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长安大学特聘讲师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restart"/>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第五天</w:t>
            </w: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案例教学</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《工程教育专业认证经验与思考》</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依据工程教育专业认证理念及obe教育理念，从专业认证背景与趋势导向、申请自评与进校阶段、持续改进与资源配备、进校阶段常见问题等四大方面系统阐述了以工程教育专业认证推动专业建设高质量发展的建设思路和实施路径。</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名师引领</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闫晟煜</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长安大学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副</w:t>
            </w:r>
            <w:bookmarkStart w:id="19" w:name="_GoBack"/>
            <w:bookmarkEnd w:id="19"/>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rPr>
            </w:pP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案例教学</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《进一步加强课程建设，打造高效课堂》</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结合课程建设历程，系统介绍了课程建设思路，分享了课程教学改革经验，同时针对课程目标、学情分析、教学痛点、教学途径、教学评价等五个方面进行讲解</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名师引领</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程海鹰</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长安大学</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restart"/>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第六天</w:t>
            </w: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专业技能</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《职业院校数字化转型与专业数字化升级改造》</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何为数字化？职业院校数字化的背景，转型与升级；职业院校数字化转型与专业升级改造的探索与实践；</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名师引领</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朱忠军</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陕西能源职业技术学院</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rPr>
            </w:pP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现场教学</w:t>
            </w:r>
          </w:p>
        </w:tc>
        <w:tc>
          <w:tcPr>
            <w:tcW w:w="2351" w:type="dxa"/>
            <w:noWrap w:val="0"/>
            <w:vAlign w:val="center"/>
          </w:tcPr>
          <w:p>
            <w:pPr>
              <w:pStyle w:val="15"/>
              <w:spacing w:before="20" w:after="20"/>
              <w:ind w:right="113" w:rightChars="0" w:firstLine="0" w:firstLineChars="0"/>
              <w:jc w:val="left"/>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走进陕西省高等学校智慧校园示范校—陕西能源职业技术学院</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赴陕西能源职业技术学院、通过参观学习，交流研讨等方式了解校园信息化转型</w:t>
            </w:r>
          </w:p>
        </w:tc>
        <w:tc>
          <w:tcPr>
            <w:tcW w:w="1236" w:type="dxa"/>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考察观摩</w:t>
            </w:r>
          </w:p>
        </w:tc>
        <w:tc>
          <w:tcPr>
            <w:tcW w:w="140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相关老师</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陕西能源职业技术学院</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restart"/>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第七天</w:t>
            </w:r>
          </w:p>
        </w:tc>
        <w:tc>
          <w:tcPr>
            <w:tcW w:w="1187"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成果汇报</w:t>
            </w:r>
          </w:p>
        </w:tc>
        <w:tc>
          <w:tcPr>
            <w:tcW w:w="2351"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分组汇报展示成果</w:t>
            </w:r>
          </w:p>
        </w:tc>
        <w:tc>
          <w:tcPr>
            <w:tcW w:w="400" w:type="dxa"/>
            <w:tcBorders>
              <w:righ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default" w:ascii="仿宋_GB2312" w:hAnsi="仿宋_GB2312" w:eastAsia="仿宋_GB2312" w:cs="仿宋_GB2312"/>
                <w:color w:val="auto"/>
                <w:kern w:val="0"/>
                <w:sz w:val="21"/>
                <w:szCs w:val="21"/>
                <w:lang w:val="en-US" w:eastAsia="zh-CN" w:bidi="ar-SA"/>
              </w:rPr>
              <w:t>2</w:t>
            </w:r>
          </w:p>
        </w:tc>
        <w:tc>
          <w:tcPr>
            <w:tcW w:w="2460" w:type="dxa"/>
            <w:tcBorders>
              <w:left w:val="single" w:color="auto" w:sz="4" w:space="0"/>
            </w:tcBorders>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分组展示小组研讨交流成果，专家点评（</w:t>
            </w:r>
            <w:r>
              <w:rPr>
                <w:rFonts w:hint="default" w:ascii="仿宋_GB2312" w:hAnsi="仿宋_GB2312" w:eastAsia="仿宋_GB2312" w:cs="仿宋_GB2312"/>
                <w:color w:val="auto"/>
                <w:kern w:val="0"/>
                <w:sz w:val="21"/>
                <w:szCs w:val="21"/>
                <w:lang w:val="en-US" w:eastAsia="zh-CN" w:bidi="ar-SA"/>
              </w:rPr>
              <w:t>1</w:t>
            </w:r>
            <w:r>
              <w:rPr>
                <w:rFonts w:hint="eastAsia" w:ascii="仿宋_GB2312" w:hAnsi="仿宋_GB2312" w:eastAsia="仿宋_GB2312" w:cs="仿宋_GB2312"/>
                <w:color w:val="auto"/>
                <w:kern w:val="0"/>
                <w:sz w:val="21"/>
                <w:szCs w:val="21"/>
                <w:lang w:val="en-US" w:eastAsia="zh-CN" w:bidi="ar-SA"/>
              </w:rPr>
              <w:t>-</w:t>
            </w:r>
            <w:r>
              <w:rPr>
                <w:rFonts w:hint="default" w:ascii="仿宋_GB2312" w:hAnsi="仿宋_GB2312" w:eastAsia="仿宋_GB2312" w:cs="仿宋_GB2312"/>
                <w:color w:val="auto"/>
                <w:kern w:val="0"/>
                <w:sz w:val="21"/>
                <w:szCs w:val="21"/>
                <w:lang w:val="en-US" w:eastAsia="zh-CN" w:bidi="ar-SA"/>
              </w:rPr>
              <w:t>2</w:t>
            </w:r>
            <w:r>
              <w:rPr>
                <w:rFonts w:hint="eastAsia" w:ascii="仿宋_GB2312" w:hAnsi="仿宋_GB2312" w:eastAsia="仿宋_GB2312" w:cs="仿宋_GB2312"/>
                <w:color w:val="auto"/>
                <w:kern w:val="0"/>
                <w:sz w:val="21"/>
                <w:szCs w:val="21"/>
                <w:lang w:val="en-US" w:eastAsia="zh-CN" w:bidi="ar-SA"/>
              </w:rPr>
              <w:t>位专家）</w:t>
            </w:r>
          </w:p>
        </w:tc>
        <w:tc>
          <w:tcPr>
            <w:tcW w:w="1236"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406" w:type="dxa"/>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授课专家</w:t>
            </w:r>
          </w:p>
        </w:tc>
        <w:tc>
          <w:tcPr>
            <w:tcW w:w="1707"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c>
          <w:tcPr>
            <w:tcW w:w="1236" w:type="dxa"/>
            <w:noWrap w:val="0"/>
            <w:vAlign w:val="center"/>
          </w:tcPr>
          <w:p>
            <w:pPr>
              <w:pStyle w:val="15"/>
              <w:spacing w:before="20" w:after="20"/>
              <w:ind w:right="113" w:rightChars="0" w:firstLine="0" w:firstLine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0" w:type="dxa"/>
            <w:vMerge w:val="continue"/>
            <w:noWrap w:val="0"/>
            <w:vAlign w:val="center"/>
          </w:tcPr>
          <w:p>
            <w:pPr>
              <w:spacing w:before="48" w:after="48"/>
              <w:jc w:val="center"/>
              <w:rPr>
                <w:rFonts w:hint="default" w:ascii="Times New Roman" w:hAnsi="Times New Roman" w:cs="Times New Roman"/>
                <w:b/>
                <w:color w:val="auto"/>
                <w:sz w:val="22"/>
                <w:szCs w:val="21"/>
              </w:rPr>
            </w:pPr>
          </w:p>
        </w:tc>
        <w:tc>
          <w:tcPr>
            <w:tcW w:w="1018" w:type="dxa"/>
            <w:vMerge w:val="continue"/>
            <w:noWrap w:val="0"/>
            <w:vAlign w:val="center"/>
          </w:tcPr>
          <w:p>
            <w:pPr>
              <w:pStyle w:val="15"/>
              <w:spacing w:before="20" w:after="20"/>
              <w:ind w:right="113" w:firstLine="0" w:firstLineChars="0"/>
              <w:jc w:val="center"/>
              <w:rPr>
                <w:rFonts w:hint="eastAsia" w:ascii="仿宋_GB2312" w:hAnsi="仿宋_GB2312" w:eastAsia="仿宋_GB2312" w:cs="仿宋_GB2312"/>
                <w:color w:val="auto"/>
                <w:szCs w:val="21"/>
              </w:rPr>
            </w:pPr>
          </w:p>
        </w:tc>
        <w:tc>
          <w:tcPr>
            <w:tcW w:w="11983" w:type="dxa"/>
            <w:gridSpan w:val="8"/>
            <w:noWrap w:val="0"/>
            <w:vAlign w:val="center"/>
          </w:tcPr>
          <w:p>
            <w:pPr>
              <w:pStyle w:val="15"/>
              <w:spacing w:before="20" w:after="20"/>
              <w:ind w:right="113" w:rightChars="0" w:firstLine="0" w:firstLineChars="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 w:val="21"/>
                <w:szCs w:val="21"/>
                <w:lang w:val="en-US" w:eastAsia="zh-CN" w:bidi="ar-SA"/>
              </w:rPr>
              <w:t>返程/</w:t>
            </w:r>
          </w:p>
        </w:tc>
      </w:tr>
    </w:tbl>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textAlignment w:val="auto"/>
        <w:rPr>
          <w:rFonts w:hint="eastAsia" w:ascii="仿宋_GB2312" w:hAnsi="仿宋_GB2312" w:eastAsia="仿宋_GB2312" w:cs="仿宋_GB2312"/>
          <w:b w:val="0"/>
          <w:bCs/>
          <w:color w:val="auto"/>
          <w:kern w:val="44"/>
          <w:sz w:val="32"/>
          <w:szCs w:val="32"/>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widowControl w:val="0"/>
        <w:numPr>
          <w:ilvl w:val="0"/>
          <w:numId w:val="1"/>
        </w:numPr>
        <w:kinsoku/>
        <w:wordWrap/>
        <w:overflowPunct/>
        <w:topLinePunct w:val="0"/>
        <w:autoSpaceDE/>
        <w:autoSpaceDN/>
        <w:bidi w:val="0"/>
        <w:adjustRightInd/>
        <w:snapToGrid/>
        <w:spacing w:line="240" w:lineRule="auto"/>
        <w:jc w:val="both"/>
        <w:textAlignment w:val="auto"/>
        <w:outlineLvl w:val="0"/>
        <w:rPr>
          <w:rFonts w:hint="eastAsia" w:ascii="黑体" w:hAnsi="黑体" w:eastAsia="黑体" w:cs="黑体"/>
          <w:sz w:val="32"/>
          <w:szCs w:val="32"/>
          <w:lang w:val="en-US" w:eastAsia="zh-CN"/>
        </w:rPr>
      </w:pPr>
      <w:bookmarkStart w:id="16" w:name="_Toc15427"/>
      <w:r>
        <w:rPr>
          <w:rFonts w:hint="eastAsia" w:ascii="黑体" w:hAnsi="黑体" w:eastAsia="黑体" w:cs="黑体"/>
          <w:sz w:val="32"/>
          <w:szCs w:val="32"/>
          <w:lang w:val="en-US" w:eastAsia="zh-CN"/>
        </w:rPr>
        <w:t>培训保障</w:t>
      </w:r>
      <w:bookmarkEnd w:id="16"/>
    </w:p>
    <w:p>
      <w:pPr>
        <w:pStyle w:val="4"/>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7" w:name="_Toc32226"/>
      <w:r>
        <w:rPr>
          <w:rFonts w:hint="eastAsia" w:ascii="楷体" w:hAnsi="楷体" w:eastAsia="楷体" w:cs="楷体"/>
          <w:sz w:val="32"/>
          <w:szCs w:val="32"/>
          <w:lang w:val="en-US" w:eastAsia="zh-CN"/>
        </w:rPr>
        <w:t>培训的资源情况</w:t>
      </w:r>
      <w:bookmarkEnd w:id="17"/>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bCs w:val="0"/>
          <w:color w:val="auto"/>
          <w:kern w:val="44"/>
          <w:sz w:val="32"/>
          <w:szCs w:val="32"/>
          <w:lang w:val="en-US" w:eastAsia="zh-CN" w:bidi="ar-SA"/>
        </w:rPr>
        <w:t>培训师资：</w:t>
      </w:r>
      <w:r>
        <w:rPr>
          <w:rFonts w:hint="eastAsia" w:ascii="仿宋_GB2312" w:hAnsi="仿宋_GB2312" w:eastAsia="仿宋_GB2312" w:cs="仿宋_GB2312"/>
          <w:b w:val="0"/>
          <w:bCs/>
          <w:color w:val="auto"/>
          <w:kern w:val="44"/>
          <w:sz w:val="32"/>
          <w:szCs w:val="32"/>
          <w:lang w:val="en-US" w:eastAsia="zh-CN" w:bidi="ar-SA"/>
        </w:rPr>
        <w:t>与本培训项目相关专业领域师资30余人，能够满足本项目师资需求。</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bCs w:val="0"/>
          <w:color w:val="auto"/>
          <w:kern w:val="44"/>
          <w:sz w:val="32"/>
          <w:szCs w:val="32"/>
          <w:lang w:val="en-US" w:eastAsia="zh-CN" w:bidi="ar-SA"/>
        </w:rPr>
        <w:t>培训场地：</w:t>
      </w:r>
      <w:r>
        <w:rPr>
          <w:rFonts w:hint="eastAsia" w:ascii="仿宋_GB2312" w:hAnsi="仿宋_GB2312" w:eastAsia="仿宋_GB2312" w:cs="仿宋_GB2312"/>
          <w:b w:val="0"/>
          <w:bCs/>
          <w:color w:val="auto"/>
          <w:kern w:val="44"/>
          <w:sz w:val="32"/>
          <w:szCs w:val="32"/>
          <w:lang w:val="en-US" w:eastAsia="zh-CN" w:bidi="ar-SA"/>
        </w:rPr>
        <w:t>本项目培训理论学习场地拟定在长安大学南校区，拥有多种类型多媒体教室及户外教学场地，可容纳30-1000人不等，均可同时开展线上、线下教学与培训。实践教学拟安排在陕西能源职业技术学院现场教学。</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b w:val="0"/>
          <w:bCs/>
          <w:color w:val="auto"/>
          <w:kern w:val="44"/>
          <w:sz w:val="32"/>
          <w:szCs w:val="32"/>
          <w:lang w:val="en-US" w:eastAsia="zh-CN" w:bidi="ar-SA"/>
        </w:rPr>
      </w:pPr>
      <w:r>
        <w:rPr>
          <w:rFonts w:hint="eastAsia" w:ascii="仿宋_GB2312" w:hAnsi="仿宋_GB2312" w:eastAsia="仿宋_GB2312" w:cs="仿宋_GB2312"/>
          <w:b/>
          <w:bCs w:val="0"/>
          <w:color w:val="auto"/>
          <w:kern w:val="44"/>
          <w:sz w:val="32"/>
          <w:szCs w:val="32"/>
          <w:lang w:val="en-US" w:eastAsia="zh-CN" w:bidi="ar-SA"/>
        </w:rPr>
        <w:t>设备设施：</w:t>
      </w:r>
      <w:r>
        <w:rPr>
          <w:rFonts w:hint="eastAsia" w:ascii="仿宋_GB2312" w:hAnsi="仿宋_GB2312" w:eastAsia="仿宋_GB2312" w:cs="仿宋_GB2312"/>
          <w:b w:val="0"/>
          <w:bCs/>
          <w:color w:val="auto"/>
          <w:kern w:val="44"/>
          <w:sz w:val="32"/>
          <w:szCs w:val="32"/>
          <w:lang w:val="en-US" w:eastAsia="zh-CN" w:bidi="ar-SA"/>
        </w:rPr>
        <w:t>理论学习场所均为多媒体教室，可满足线上线下同时教学；实践学习设施设备包括车联网试验场设施设备、重点实验室仪器设备等，可满足实践教学所需。</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bCs w:val="0"/>
          <w:color w:val="auto"/>
          <w:kern w:val="44"/>
          <w:sz w:val="32"/>
          <w:szCs w:val="32"/>
          <w:lang w:val="en-US" w:eastAsia="zh-CN" w:bidi="ar-SA"/>
        </w:rPr>
        <w:t>平台资源：</w:t>
      </w:r>
      <w:r>
        <w:rPr>
          <w:rFonts w:hint="eastAsia" w:ascii="仿宋_GB2312" w:hAnsi="仿宋_GB2312" w:eastAsia="仿宋_GB2312" w:cs="仿宋_GB2312"/>
          <w:b w:val="0"/>
          <w:bCs/>
          <w:color w:val="auto"/>
          <w:kern w:val="44"/>
          <w:sz w:val="32"/>
          <w:szCs w:val="32"/>
          <w:lang w:val="en-US" w:eastAsia="zh-CN" w:bidi="ar-SA"/>
        </w:rPr>
        <w:t>拥有长安大学在线学习平台、高等继续教育教学教务管理平台和非学历教育管理平台，拥有线上课程370余门，可供参训教师免费学习。</w:t>
      </w:r>
    </w:p>
    <w:p>
      <w:pPr>
        <w:pStyle w:val="4"/>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40" w:lineRule="auto"/>
        <w:textAlignment w:val="auto"/>
        <w:rPr>
          <w:rFonts w:hint="eastAsia" w:ascii="楷体" w:hAnsi="楷体" w:eastAsia="楷体" w:cs="楷体"/>
          <w:sz w:val="32"/>
          <w:szCs w:val="32"/>
          <w:lang w:val="en-US" w:eastAsia="zh-CN"/>
        </w:rPr>
      </w:pPr>
      <w:bookmarkStart w:id="18" w:name="_Toc13598"/>
      <w:r>
        <w:rPr>
          <w:rFonts w:hint="eastAsia" w:ascii="楷体" w:hAnsi="楷体" w:eastAsia="楷体" w:cs="楷体"/>
          <w:sz w:val="32"/>
          <w:szCs w:val="32"/>
          <w:lang w:val="en-US" w:eastAsia="zh-CN"/>
        </w:rPr>
        <w:t>后勤保障</w:t>
      </w:r>
      <w:bookmarkEnd w:id="18"/>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kern w:val="44"/>
          <w:sz w:val="32"/>
          <w:szCs w:val="32"/>
          <w:lang w:val="en-US" w:eastAsia="zh-CN" w:bidi="ar-SA"/>
        </w:rPr>
        <w:t>学校培训有长大国际公寓（南校区）、教师公寓（北校区）、太白山基地师生公寓（宝鸡市眉县）及校外协议酒店、学生餐厅（高校标准化食堂）等多个食宿配套，均可同时容纳150人以上住宿和就餐，环境舒适卫生。食宿和教学场地距离非常近，且临近大雁塔和陕西历史博物馆，交通便利，学习生活方便。</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2E3A7D-327E-41A5-9540-C023FF445C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00F3FE7C-47AA-4A78-A1A7-FD2F9C61205F}"/>
  </w:font>
  <w:font w:name="方正小标宋简体">
    <w:panose1 w:val="02000000000000000000"/>
    <w:charset w:val="86"/>
    <w:family w:val="auto"/>
    <w:pitch w:val="default"/>
    <w:sig w:usb0="00000001" w:usb1="080E0000" w:usb2="00000000" w:usb3="00000000" w:csb0="00040000" w:csb1="00000000"/>
    <w:embedRegular r:id="rId3" w:fontKey="{AAC81E42-9548-4984-91E9-94AC92AC3DB8}"/>
  </w:font>
  <w:font w:name="楷体">
    <w:panose1 w:val="02010609060101010101"/>
    <w:charset w:val="86"/>
    <w:family w:val="auto"/>
    <w:pitch w:val="default"/>
    <w:sig w:usb0="800002BF" w:usb1="38CF7CFA" w:usb2="00000016" w:usb3="00000000" w:csb0="00040001" w:csb1="00000000"/>
    <w:embedRegular r:id="rId4" w:fontKey="{87A622D1-94EB-4AB4-95A8-1DA02FCF52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DA50"/>
    <w:multiLevelType w:val="singleLevel"/>
    <w:tmpl w:val="9B62DA50"/>
    <w:lvl w:ilvl="0" w:tentative="0">
      <w:start w:val="1"/>
      <w:numFmt w:val="chineseCounting"/>
      <w:suff w:val="nothing"/>
      <w:lvlText w:val="（%1）"/>
      <w:lvlJc w:val="left"/>
      <w:rPr>
        <w:rFonts w:hint="eastAsia"/>
      </w:rPr>
    </w:lvl>
  </w:abstractNum>
  <w:abstractNum w:abstractNumId="1">
    <w:nsid w:val="ABA952AE"/>
    <w:multiLevelType w:val="singleLevel"/>
    <w:tmpl w:val="ABA952AE"/>
    <w:lvl w:ilvl="0" w:tentative="0">
      <w:start w:val="1"/>
      <w:numFmt w:val="chineseCounting"/>
      <w:suff w:val="nothing"/>
      <w:lvlText w:val="（%1）"/>
      <w:lvlJc w:val="left"/>
      <w:rPr>
        <w:rFonts w:hint="eastAsia"/>
      </w:rPr>
    </w:lvl>
  </w:abstractNum>
  <w:abstractNum w:abstractNumId="2">
    <w:nsid w:val="BE02127E"/>
    <w:multiLevelType w:val="singleLevel"/>
    <w:tmpl w:val="BE02127E"/>
    <w:lvl w:ilvl="0" w:tentative="0">
      <w:start w:val="1"/>
      <w:numFmt w:val="chineseCounting"/>
      <w:suff w:val="nothing"/>
      <w:lvlText w:val="（%1）"/>
      <w:lvlJc w:val="left"/>
      <w:rPr>
        <w:rFonts w:hint="eastAsia"/>
      </w:rPr>
    </w:lvl>
  </w:abstractNum>
  <w:abstractNum w:abstractNumId="3">
    <w:nsid w:val="D954B6DA"/>
    <w:multiLevelType w:val="singleLevel"/>
    <w:tmpl w:val="D954B6DA"/>
    <w:lvl w:ilvl="0" w:tentative="0">
      <w:start w:val="1"/>
      <w:numFmt w:val="decimal"/>
      <w:suff w:val="nothing"/>
      <w:lvlText w:val="%1、"/>
      <w:lvlJc w:val="left"/>
    </w:lvl>
  </w:abstractNum>
  <w:abstractNum w:abstractNumId="4">
    <w:nsid w:val="EAB35DA4"/>
    <w:multiLevelType w:val="singleLevel"/>
    <w:tmpl w:val="EAB35DA4"/>
    <w:lvl w:ilvl="0" w:tentative="0">
      <w:start w:val="1"/>
      <w:numFmt w:val="chineseCounting"/>
      <w:suff w:val="nothing"/>
      <w:lvlText w:val="%1、"/>
      <w:lvlJc w:val="left"/>
      <w:rPr>
        <w:rFonts w:hint="eastAsia"/>
      </w:rPr>
    </w:lvl>
  </w:abstractNum>
  <w:abstractNum w:abstractNumId="5">
    <w:nsid w:val="6FC4C701"/>
    <w:multiLevelType w:val="singleLevel"/>
    <w:tmpl w:val="6FC4C701"/>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01D7D62"/>
    <w:rsid w:val="007200AE"/>
    <w:rsid w:val="00E0770D"/>
    <w:rsid w:val="00EB7E60"/>
    <w:rsid w:val="010B22B0"/>
    <w:rsid w:val="01121891"/>
    <w:rsid w:val="014D4677"/>
    <w:rsid w:val="014F03EF"/>
    <w:rsid w:val="016F45ED"/>
    <w:rsid w:val="01852063"/>
    <w:rsid w:val="01875DDB"/>
    <w:rsid w:val="02C306DD"/>
    <w:rsid w:val="03667C72"/>
    <w:rsid w:val="03922815"/>
    <w:rsid w:val="03D70B5A"/>
    <w:rsid w:val="03F30A66"/>
    <w:rsid w:val="04AC5B58"/>
    <w:rsid w:val="04B54A0D"/>
    <w:rsid w:val="05326AB2"/>
    <w:rsid w:val="05355B4E"/>
    <w:rsid w:val="058663AA"/>
    <w:rsid w:val="05C72C4A"/>
    <w:rsid w:val="066E57BB"/>
    <w:rsid w:val="069468A4"/>
    <w:rsid w:val="06AE3E0A"/>
    <w:rsid w:val="06F23069"/>
    <w:rsid w:val="07927288"/>
    <w:rsid w:val="07F910B5"/>
    <w:rsid w:val="07FB6BDB"/>
    <w:rsid w:val="087D1CE6"/>
    <w:rsid w:val="08884FD6"/>
    <w:rsid w:val="08C711B3"/>
    <w:rsid w:val="09247DCC"/>
    <w:rsid w:val="094C3466"/>
    <w:rsid w:val="098B3F8E"/>
    <w:rsid w:val="09EC7123"/>
    <w:rsid w:val="09F14739"/>
    <w:rsid w:val="0A0A75A9"/>
    <w:rsid w:val="0A83110A"/>
    <w:rsid w:val="0A8455AD"/>
    <w:rsid w:val="0A951569"/>
    <w:rsid w:val="0B04049C"/>
    <w:rsid w:val="0B106E41"/>
    <w:rsid w:val="0B5F1B77"/>
    <w:rsid w:val="0BB93035"/>
    <w:rsid w:val="0BF56037"/>
    <w:rsid w:val="0D49663A"/>
    <w:rsid w:val="0D5A0848"/>
    <w:rsid w:val="0DBF06AB"/>
    <w:rsid w:val="0DD203DE"/>
    <w:rsid w:val="0E364E11"/>
    <w:rsid w:val="0E7F7B0E"/>
    <w:rsid w:val="0E833DCE"/>
    <w:rsid w:val="0E99714E"/>
    <w:rsid w:val="0EFE5203"/>
    <w:rsid w:val="0F490B74"/>
    <w:rsid w:val="0F7200CA"/>
    <w:rsid w:val="0F735BF1"/>
    <w:rsid w:val="0FCC70AF"/>
    <w:rsid w:val="101822F4"/>
    <w:rsid w:val="1125116C"/>
    <w:rsid w:val="117B6FDE"/>
    <w:rsid w:val="117F6ACF"/>
    <w:rsid w:val="11AC0F46"/>
    <w:rsid w:val="11BD3153"/>
    <w:rsid w:val="11F50B3F"/>
    <w:rsid w:val="130C25E4"/>
    <w:rsid w:val="139F5206"/>
    <w:rsid w:val="13AE71F7"/>
    <w:rsid w:val="14107EB2"/>
    <w:rsid w:val="144C07BE"/>
    <w:rsid w:val="14612B95"/>
    <w:rsid w:val="14D964F6"/>
    <w:rsid w:val="14F926F4"/>
    <w:rsid w:val="14FE41AE"/>
    <w:rsid w:val="168E3310"/>
    <w:rsid w:val="17015893"/>
    <w:rsid w:val="17604CAC"/>
    <w:rsid w:val="177C760C"/>
    <w:rsid w:val="1787048B"/>
    <w:rsid w:val="17CF1E32"/>
    <w:rsid w:val="186715DB"/>
    <w:rsid w:val="18822A00"/>
    <w:rsid w:val="190D49C0"/>
    <w:rsid w:val="19102702"/>
    <w:rsid w:val="19143FA0"/>
    <w:rsid w:val="194A1770"/>
    <w:rsid w:val="19EE47F1"/>
    <w:rsid w:val="1A023DF9"/>
    <w:rsid w:val="1AC5064D"/>
    <w:rsid w:val="1B32070E"/>
    <w:rsid w:val="1B3426D8"/>
    <w:rsid w:val="1BCC3FDD"/>
    <w:rsid w:val="1BCF41AF"/>
    <w:rsid w:val="1BE67E3B"/>
    <w:rsid w:val="1C2564C4"/>
    <w:rsid w:val="1C8E5F6B"/>
    <w:rsid w:val="1CCD3F1F"/>
    <w:rsid w:val="1CD87093"/>
    <w:rsid w:val="1CE41AC5"/>
    <w:rsid w:val="1CFF0AC4"/>
    <w:rsid w:val="1D1327C1"/>
    <w:rsid w:val="1D3E783E"/>
    <w:rsid w:val="1DC064A5"/>
    <w:rsid w:val="1DDE4B7D"/>
    <w:rsid w:val="1E334EC9"/>
    <w:rsid w:val="1EDC730E"/>
    <w:rsid w:val="1F242A63"/>
    <w:rsid w:val="1F2B3DF2"/>
    <w:rsid w:val="1F4E7AE0"/>
    <w:rsid w:val="1F841754"/>
    <w:rsid w:val="2040567B"/>
    <w:rsid w:val="20A57BD4"/>
    <w:rsid w:val="212E3725"/>
    <w:rsid w:val="219C4B33"/>
    <w:rsid w:val="22963C78"/>
    <w:rsid w:val="22CC1448"/>
    <w:rsid w:val="22EF3388"/>
    <w:rsid w:val="2329689A"/>
    <w:rsid w:val="234436D4"/>
    <w:rsid w:val="239006C7"/>
    <w:rsid w:val="239857CE"/>
    <w:rsid w:val="24305A06"/>
    <w:rsid w:val="245E2574"/>
    <w:rsid w:val="247E49C4"/>
    <w:rsid w:val="24A85EE5"/>
    <w:rsid w:val="25950217"/>
    <w:rsid w:val="25D074A1"/>
    <w:rsid w:val="25E42F4C"/>
    <w:rsid w:val="261C26E6"/>
    <w:rsid w:val="263C4B36"/>
    <w:rsid w:val="26661BB3"/>
    <w:rsid w:val="26EC20B9"/>
    <w:rsid w:val="26F15921"/>
    <w:rsid w:val="27330264"/>
    <w:rsid w:val="27A74232"/>
    <w:rsid w:val="27FA6A3D"/>
    <w:rsid w:val="27FF5E1C"/>
    <w:rsid w:val="28164F13"/>
    <w:rsid w:val="28706D19"/>
    <w:rsid w:val="28C17575"/>
    <w:rsid w:val="28D45E72"/>
    <w:rsid w:val="2900009D"/>
    <w:rsid w:val="291B0A33"/>
    <w:rsid w:val="29826D04"/>
    <w:rsid w:val="29A44ECD"/>
    <w:rsid w:val="2A781EB5"/>
    <w:rsid w:val="2A7C19A5"/>
    <w:rsid w:val="2AD25A69"/>
    <w:rsid w:val="2B6F32B8"/>
    <w:rsid w:val="2B794137"/>
    <w:rsid w:val="2B876854"/>
    <w:rsid w:val="2B88437A"/>
    <w:rsid w:val="2B8925CC"/>
    <w:rsid w:val="2C2440A3"/>
    <w:rsid w:val="2C3A1B18"/>
    <w:rsid w:val="2C7D1A05"/>
    <w:rsid w:val="2C7E7C57"/>
    <w:rsid w:val="2D104627"/>
    <w:rsid w:val="2D7C3A6A"/>
    <w:rsid w:val="2E220AB6"/>
    <w:rsid w:val="2E35133A"/>
    <w:rsid w:val="2E8A6368"/>
    <w:rsid w:val="2EB55486"/>
    <w:rsid w:val="2EBA0CEE"/>
    <w:rsid w:val="2F154177"/>
    <w:rsid w:val="2F430CE4"/>
    <w:rsid w:val="2F4405B8"/>
    <w:rsid w:val="2F6F7D2B"/>
    <w:rsid w:val="303625F7"/>
    <w:rsid w:val="3078113B"/>
    <w:rsid w:val="309612E7"/>
    <w:rsid w:val="30C83C4B"/>
    <w:rsid w:val="30CD2F5B"/>
    <w:rsid w:val="31012C04"/>
    <w:rsid w:val="326042FA"/>
    <w:rsid w:val="332E24B5"/>
    <w:rsid w:val="336F654B"/>
    <w:rsid w:val="33961F98"/>
    <w:rsid w:val="33CB7DEA"/>
    <w:rsid w:val="33EE7A94"/>
    <w:rsid w:val="352256B5"/>
    <w:rsid w:val="35447564"/>
    <w:rsid w:val="357A2F85"/>
    <w:rsid w:val="35C12962"/>
    <w:rsid w:val="36334C6A"/>
    <w:rsid w:val="36985DB9"/>
    <w:rsid w:val="36EF34FF"/>
    <w:rsid w:val="3795529C"/>
    <w:rsid w:val="37BF1123"/>
    <w:rsid w:val="37C84F19"/>
    <w:rsid w:val="381C47C8"/>
    <w:rsid w:val="387447FE"/>
    <w:rsid w:val="389B56ED"/>
    <w:rsid w:val="3A377697"/>
    <w:rsid w:val="3A43603C"/>
    <w:rsid w:val="3A5D1B43"/>
    <w:rsid w:val="3ADD1FEC"/>
    <w:rsid w:val="3B0532F1"/>
    <w:rsid w:val="3B2C2F74"/>
    <w:rsid w:val="3B583D69"/>
    <w:rsid w:val="3B824189"/>
    <w:rsid w:val="3B8763FC"/>
    <w:rsid w:val="3BB56AC5"/>
    <w:rsid w:val="3C616C4D"/>
    <w:rsid w:val="3C6978B0"/>
    <w:rsid w:val="3C7544A7"/>
    <w:rsid w:val="3CEC29BB"/>
    <w:rsid w:val="3D6A1B31"/>
    <w:rsid w:val="3D9F7A2D"/>
    <w:rsid w:val="3E216694"/>
    <w:rsid w:val="3E4405D4"/>
    <w:rsid w:val="3E8F099D"/>
    <w:rsid w:val="3EBA43F3"/>
    <w:rsid w:val="3EC62B88"/>
    <w:rsid w:val="3EE911E7"/>
    <w:rsid w:val="3EF20030"/>
    <w:rsid w:val="3F4630ED"/>
    <w:rsid w:val="3F8A2017"/>
    <w:rsid w:val="3FDA11F0"/>
    <w:rsid w:val="40DC68A2"/>
    <w:rsid w:val="416965E2"/>
    <w:rsid w:val="416F5968"/>
    <w:rsid w:val="4235348A"/>
    <w:rsid w:val="428C42F8"/>
    <w:rsid w:val="42DC527F"/>
    <w:rsid w:val="42F223AD"/>
    <w:rsid w:val="432307B8"/>
    <w:rsid w:val="43AA2C88"/>
    <w:rsid w:val="441310EE"/>
    <w:rsid w:val="44354C47"/>
    <w:rsid w:val="443A225E"/>
    <w:rsid w:val="44D34460"/>
    <w:rsid w:val="456A4DC4"/>
    <w:rsid w:val="458614D2"/>
    <w:rsid w:val="45D40490"/>
    <w:rsid w:val="45FB407D"/>
    <w:rsid w:val="46050649"/>
    <w:rsid w:val="462F3918"/>
    <w:rsid w:val="472B40E0"/>
    <w:rsid w:val="47A143A2"/>
    <w:rsid w:val="48711FC6"/>
    <w:rsid w:val="487815A6"/>
    <w:rsid w:val="489363E0"/>
    <w:rsid w:val="48AC1250"/>
    <w:rsid w:val="491944EA"/>
    <w:rsid w:val="4A203CA4"/>
    <w:rsid w:val="4A8E3303"/>
    <w:rsid w:val="4B0E1D4E"/>
    <w:rsid w:val="4B3519D1"/>
    <w:rsid w:val="4B92297F"/>
    <w:rsid w:val="4BA6642B"/>
    <w:rsid w:val="4BB943B0"/>
    <w:rsid w:val="4C404189"/>
    <w:rsid w:val="4C6562E6"/>
    <w:rsid w:val="4CD174D7"/>
    <w:rsid w:val="4D5819A6"/>
    <w:rsid w:val="4D6D36A4"/>
    <w:rsid w:val="4D9E1AAF"/>
    <w:rsid w:val="4DAE7818"/>
    <w:rsid w:val="4DDE00FE"/>
    <w:rsid w:val="4E323FA5"/>
    <w:rsid w:val="4E5B174E"/>
    <w:rsid w:val="4E9E5ADF"/>
    <w:rsid w:val="4EBD252D"/>
    <w:rsid w:val="4EEF00E8"/>
    <w:rsid w:val="4F441CDB"/>
    <w:rsid w:val="4F74239C"/>
    <w:rsid w:val="50196598"/>
    <w:rsid w:val="50243DC2"/>
    <w:rsid w:val="506F328F"/>
    <w:rsid w:val="50940F47"/>
    <w:rsid w:val="510746C6"/>
    <w:rsid w:val="51114346"/>
    <w:rsid w:val="514D1DC4"/>
    <w:rsid w:val="52A53CF2"/>
    <w:rsid w:val="52C5363A"/>
    <w:rsid w:val="52D95337"/>
    <w:rsid w:val="53073C53"/>
    <w:rsid w:val="537D3F15"/>
    <w:rsid w:val="53D01A92"/>
    <w:rsid w:val="53DE6642"/>
    <w:rsid w:val="547A0454"/>
    <w:rsid w:val="54D1276A"/>
    <w:rsid w:val="550F5041"/>
    <w:rsid w:val="55F304BE"/>
    <w:rsid w:val="56312D95"/>
    <w:rsid w:val="56821842"/>
    <w:rsid w:val="56AF6ADB"/>
    <w:rsid w:val="57580F21"/>
    <w:rsid w:val="58360B36"/>
    <w:rsid w:val="583A0626"/>
    <w:rsid w:val="58535244"/>
    <w:rsid w:val="588B70D4"/>
    <w:rsid w:val="59072C51"/>
    <w:rsid w:val="591C41D0"/>
    <w:rsid w:val="59592D2E"/>
    <w:rsid w:val="5976568E"/>
    <w:rsid w:val="5A47702B"/>
    <w:rsid w:val="5A783688"/>
    <w:rsid w:val="5B1E5FDD"/>
    <w:rsid w:val="5BA54009"/>
    <w:rsid w:val="5BC16969"/>
    <w:rsid w:val="5D7F6ADB"/>
    <w:rsid w:val="5D845EA0"/>
    <w:rsid w:val="5D9E3405"/>
    <w:rsid w:val="5DB77505"/>
    <w:rsid w:val="5DDE511F"/>
    <w:rsid w:val="5E151EFF"/>
    <w:rsid w:val="5E543AC4"/>
    <w:rsid w:val="5E6F4DA2"/>
    <w:rsid w:val="5F020E69"/>
    <w:rsid w:val="5F3F4774"/>
    <w:rsid w:val="5F69359F"/>
    <w:rsid w:val="5FD72BFF"/>
    <w:rsid w:val="60D40EEC"/>
    <w:rsid w:val="626A5FAC"/>
    <w:rsid w:val="628F5E01"/>
    <w:rsid w:val="62FA7330"/>
    <w:rsid w:val="63E8362C"/>
    <w:rsid w:val="640F0BB9"/>
    <w:rsid w:val="64155AA4"/>
    <w:rsid w:val="64175CC0"/>
    <w:rsid w:val="64346872"/>
    <w:rsid w:val="64572560"/>
    <w:rsid w:val="647924D6"/>
    <w:rsid w:val="64D70FAB"/>
    <w:rsid w:val="64E21E2A"/>
    <w:rsid w:val="64EE729B"/>
    <w:rsid w:val="65385EEE"/>
    <w:rsid w:val="65757142"/>
    <w:rsid w:val="65DA0D53"/>
    <w:rsid w:val="667A42E4"/>
    <w:rsid w:val="674072DB"/>
    <w:rsid w:val="674C5C80"/>
    <w:rsid w:val="676B07FC"/>
    <w:rsid w:val="680A69C3"/>
    <w:rsid w:val="687A2D1E"/>
    <w:rsid w:val="68CA50AF"/>
    <w:rsid w:val="68FB795E"/>
    <w:rsid w:val="69DD52B6"/>
    <w:rsid w:val="6A4D243B"/>
    <w:rsid w:val="6B0D3978"/>
    <w:rsid w:val="6B3158B9"/>
    <w:rsid w:val="6B576BEB"/>
    <w:rsid w:val="6BA0659B"/>
    <w:rsid w:val="6C256AA0"/>
    <w:rsid w:val="6C354F35"/>
    <w:rsid w:val="6C5D26DE"/>
    <w:rsid w:val="6CD3474E"/>
    <w:rsid w:val="6D3A657B"/>
    <w:rsid w:val="6DB42BBF"/>
    <w:rsid w:val="6DC5053A"/>
    <w:rsid w:val="6DD95D94"/>
    <w:rsid w:val="6DF8446C"/>
    <w:rsid w:val="6E5518BE"/>
    <w:rsid w:val="6E7279FD"/>
    <w:rsid w:val="6E7F4B8D"/>
    <w:rsid w:val="6EDC5B3C"/>
    <w:rsid w:val="6EDD3662"/>
    <w:rsid w:val="6F571666"/>
    <w:rsid w:val="6F9603E0"/>
    <w:rsid w:val="6FB6638D"/>
    <w:rsid w:val="6FE80510"/>
    <w:rsid w:val="700370F8"/>
    <w:rsid w:val="701D01BA"/>
    <w:rsid w:val="70F53B43"/>
    <w:rsid w:val="718A7AD1"/>
    <w:rsid w:val="71B45234"/>
    <w:rsid w:val="72FD0776"/>
    <w:rsid w:val="73C67DAD"/>
    <w:rsid w:val="73DE5EB2"/>
    <w:rsid w:val="74161AF0"/>
    <w:rsid w:val="751B4EE4"/>
    <w:rsid w:val="75D67789"/>
    <w:rsid w:val="75E81673"/>
    <w:rsid w:val="75EB080A"/>
    <w:rsid w:val="75FD4485"/>
    <w:rsid w:val="761738FD"/>
    <w:rsid w:val="764010A6"/>
    <w:rsid w:val="766A174F"/>
    <w:rsid w:val="769F401E"/>
    <w:rsid w:val="770B16B4"/>
    <w:rsid w:val="774C5829"/>
    <w:rsid w:val="77A92C7B"/>
    <w:rsid w:val="77AD276B"/>
    <w:rsid w:val="786A240A"/>
    <w:rsid w:val="79112886"/>
    <w:rsid w:val="79382508"/>
    <w:rsid w:val="79404F19"/>
    <w:rsid w:val="7A0D129F"/>
    <w:rsid w:val="7A2149D2"/>
    <w:rsid w:val="7A684727"/>
    <w:rsid w:val="7A877B5A"/>
    <w:rsid w:val="7AAF05A8"/>
    <w:rsid w:val="7B1228E5"/>
    <w:rsid w:val="7B7F61CD"/>
    <w:rsid w:val="7BA479E1"/>
    <w:rsid w:val="7BF72207"/>
    <w:rsid w:val="7CA83501"/>
    <w:rsid w:val="7CD10CAA"/>
    <w:rsid w:val="7DA0067C"/>
    <w:rsid w:val="7DAC7021"/>
    <w:rsid w:val="7E0E3838"/>
    <w:rsid w:val="7E953F59"/>
    <w:rsid w:val="7EC81C39"/>
    <w:rsid w:val="7EC9775F"/>
    <w:rsid w:val="7F5D4A77"/>
    <w:rsid w:val="7F66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Autospacing="0"/>
    </w:p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table" w:styleId="8">
    <w:name w:val="Table Grid"/>
    <w:basedOn w:val="7"/>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Emphasis"/>
    <w:basedOn w:val="9"/>
    <w:autoRedefine/>
    <w:qFormat/>
    <w:uiPriority w:val="0"/>
    <w:rPr>
      <w:i/>
    </w:rPr>
  </w:style>
  <w:style w:type="paragraph" w:customStyle="1" w:styleId="11">
    <w:name w:val="WPSOffice手动目录 1"/>
    <w:autoRedefine/>
    <w:qFormat/>
    <w:uiPriority w:val="0"/>
    <w:pPr>
      <w:ind w:leftChars="0"/>
    </w:pPr>
    <w:rPr>
      <w:rFonts w:ascii="Times New Roman" w:hAnsi="Times New Roman" w:eastAsia="宋体" w:cs="Times New Roman"/>
      <w:sz w:val="20"/>
      <w:szCs w:val="20"/>
    </w:rPr>
  </w:style>
  <w:style w:type="paragraph" w:customStyle="1" w:styleId="12">
    <w:name w:val="普通(网站) Char"/>
    <w:basedOn w:val="1"/>
    <w:autoRedefine/>
    <w:qFormat/>
    <w:uiPriority w:val="0"/>
    <w:pPr>
      <w:keepNext w:val="0"/>
      <w:keepLines w:val="0"/>
      <w:widowControl/>
      <w:suppressLineNumbers w:val="0"/>
      <w:spacing w:before="0" w:beforeAutospacing="1" w:after="0" w:afterAutospacing="1"/>
      <w:ind w:left="0" w:right="0"/>
      <w:jc w:val="left"/>
    </w:pPr>
    <w:rPr>
      <w:rFonts w:hint="eastAsia" w:ascii="等线" w:hAnsi="等线" w:eastAsia="等线" w:cs="等线"/>
      <w:kern w:val="0"/>
      <w:sz w:val="24"/>
      <w:szCs w:val="24"/>
      <w:lang w:val="en-US" w:eastAsia="zh-CN" w:bidi="ar"/>
    </w:rPr>
  </w:style>
  <w:style w:type="paragraph" w:customStyle="1" w:styleId="13">
    <w:name w:val="标书正文1"/>
    <w:basedOn w:val="1"/>
    <w:autoRedefine/>
    <w:qFormat/>
    <w:uiPriority w:val="0"/>
    <w:pPr>
      <w:autoSpaceDE w:val="0"/>
      <w:autoSpaceDN w:val="0"/>
      <w:spacing w:line="520" w:lineRule="exact"/>
      <w:ind w:firstLine="640"/>
      <w:jc w:val="left"/>
    </w:pPr>
    <w:rPr>
      <w:rFonts w:ascii="仿宋_GB2312" w:hAnsi="仿宋_GB2312" w:cs="仿宋_GB2312"/>
      <w:kern w:val="0"/>
      <w:sz w:val="22"/>
      <w:szCs w:val="22"/>
      <w:lang w:val="zh-CN" w:bidi="zh-CN"/>
    </w:rPr>
  </w:style>
  <w:style w:type="table" w:customStyle="1" w:styleId="14">
    <w:name w:val="Table Normal"/>
    <w:autoRedefine/>
    <w:unhideWhenUsed/>
    <w:qFormat/>
    <w:uiPriority w:val="0"/>
    <w:rPr>
      <w:rFonts w:ascii="Arial" w:hAnsi="Arial" w:cs="Arial"/>
    </w:rPr>
    <w:tblPr>
      <w:tblCellMar>
        <w:top w:w="0" w:type="dxa"/>
        <w:left w:w="0" w:type="dxa"/>
        <w:bottom w:w="0" w:type="dxa"/>
        <w:right w:w="0" w:type="dxa"/>
      </w:tblCellMar>
    </w:tblPr>
  </w:style>
  <w:style w:type="paragraph" w:customStyle="1" w:styleId="15">
    <w:name w:val="列出段落1"/>
    <w:basedOn w:val="1"/>
    <w:autoRedefine/>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2024-04-30T11:57:00Z</dcterms:created>
  <dc:creator>贾英</dc:creator>
  <cp:lastModifiedBy>辣鸽可以</cp:lastModifiedBy>
  <dcterms:modified xsi:type="dcterms:W3CDTF">2024-05-06T01:33:31Z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11661D611BA944688642C4A2A4CD6B90_13</vt:lpwstr>
  </property>
</Properties>
</file>